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C" w:rsidRDefault="00E22B6C" w:rsidP="00E22B6C">
      <w:pPr>
        <w:spacing w:before="40" w:after="4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6694" cy="9795641"/>
            <wp:effectExtent l="19050" t="0" r="0" b="0"/>
            <wp:docPr id="1" name="Рисунок 1" descr="C:\Users\30 Лет Юбилей\Desktop\Новая папка\5-6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 Лет Юбилей\Desktop\Новая папка\5-6.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69" cy="980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6C" w:rsidRDefault="00E22B6C" w:rsidP="00E22B6C">
      <w:pPr>
        <w:spacing w:before="40" w:after="40"/>
        <w:ind w:right="567"/>
        <w:rPr>
          <w:rFonts w:ascii="Times New Roman" w:hAnsi="Times New Roman" w:cs="Times New Roman"/>
          <w:sz w:val="24"/>
          <w:szCs w:val="24"/>
        </w:rPr>
      </w:pPr>
    </w:p>
    <w:p w:rsidR="00E22B6C" w:rsidRDefault="00E22B6C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22B6C" w:rsidP="00E22B6C">
      <w:pPr>
        <w:pStyle w:val="pStyleHead1"/>
        <w:spacing w:before="40" w:after="40" w:line="360" w:lineRule="auto"/>
        <w:ind w:right="-1"/>
        <w:jc w:val="left"/>
        <w:rPr>
          <w:rStyle w:val="fStyleHead1"/>
          <w:color w:val="auto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</w:t>
      </w:r>
      <w:r w:rsidR="00E12C3D" w:rsidRPr="005C75CE">
        <w:rPr>
          <w:rStyle w:val="fStyleHead1"/>
          <w:color w:val="auto"/>
          <w:sz w:val="24"/>
          <w:szCs w:val="24"/>
        </w:rPr>
        <w:t>ОГЛАВЛЕНИЕ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fldChar w:fldCharType="begin"/>
      </w:r>
      <w:r w:rsidR="00E12C3D" w:rsidRPr="005C75CE">
        <w:rPr>
          <w:rFonts w:ascii="Times New Roman" w:hAnsi="Times New Roman" w:cs="Times New Roman"/>
          <w:sz w:val="24"/>
          <w:szCs w:val="24"/>
        </w:rPr>
        <w:instrText>TOC \o 1-2 \h \z \u</w:instrText>
      </w:r>
      <w:r w:rsidRPr="005C75C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1. Комплекс основных характеристик дополнительной общеобразовательной общеразвивающей программы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E12C3D" w:rsidRPr="005C75CE">
        <w:rPr>
          <w:rFonts w:ascii="Times New Roman" w:hAnsi="Times New Roman" w:cs="Times New Roman"/>
          <w:sz w:val="24"/>
          <w:szCs w:val="24"/>
        </w:rPr>
        <w:t>3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2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1.1. Пояснительная записка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E12C3D" w:rsidRPr="005C75CE">
        <w:rPr>
          <w:rFonts w:ascii="Times New Roman" w:hAnsi="Times New Roman" w:cs="Times New Roman"/>
          <w:sz w:val="24"/>
          <w:szCs w:val="24"/>
        </w:rPr>
        <w:t>3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13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1.2. Цель, задачи, ожидаемые результаты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5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20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1.3. Содержание программы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6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28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 Комплекс организационно - педагогических условий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8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29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2.1. Календарный учебный график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10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30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2.2. Условия реализации программы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10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31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2.3. Формы аттестации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11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33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2.4. Оценочные материалы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12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34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2.5. Методические материалы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12</w:t>
      </w:r>
    </w:p>
    <w:p w:rsidR="00E12C3D" w:rsidRPr="005C75CE" w:rsidRDefault="002C2BEA" w:rsidP="00E12C3D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 w:cs="Times New Roman"/>
          <w:color w:val="auto"/>
          <w:sz w:val="24"/>
          <w:szCs w:val="24"/>
        </w:rPr>
      </w:pPr>
      <w:hyperlink w:anchor="_Toc40" w:history="1">
        <w:r w:rsidR="00E12C3D" w:rsidRPr="005C75CE">
          <w:rPr>
            <w:rFonts w:ascii="Times New Roman" w:hAnsi="Times New Roman" w:cs="Times New Roman"/>
            <w:sz w:val="24"/>
            <w:szCs w:val="24"/>
          </w:rPr>
          <w:t>2.6. Список литературы</w:t>
        </w:r>
        <w:r w:rsidR="00E12C3D" w:rsidRPr="005C75CE">
          <w:rPr>
            <w:rFonts w:ascii="Times New Roman" w:hAnsi="Times New Roman" w:cs="Times New Roman"/>
            <w:sz w:val="24"/>
            <w:szCs w:val="24"/>
          </w:rPr>
          <w:tab/>
        </w:r>
      </w:hyperlink>
      <w:r w:rsidR="00783592" w:rsidRPr="005C75CE">
        <w:rPr>
          <w:rFonts w:ascii="Times New Roman" w:hAnsi="Times New Roman" w:cs="Times New Roman"/>
          <w:sz w:val="24"/>
          <w:szCs w:val="24"/>
        </w:rPr>
        <w:t>13</w:t>
      </w:r>
    </w:p>
    <w:p w:rsidR="00E12C3D" w:rsidRPr="005C75CE" w:rsidRDefault="002C2BEA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E12C3D" w:rsidRPr="005C75CE" w:rsidRDefault="00E12C3D" w:rsidP="00E12C3D">
      <w:pPr>
        <w:spacing w:before="40" w:after="4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01ACB" w:rsidRPr="005C75CE" w:rsidRDefault="00001ACB" w:rsidP="00001ACB">
      <w:pPr>
        <w:pStyle w:val="1"/>
        <w:spacing w:before="40" w:after="40" w:line="36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C75CE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001ACB" w:rsidRPr="005C75CE" w:rsidRDefault="00001ACB" w:rsidP="00001ACB">
      <w:pPr>
        <w:pStyle w:val="2"/>
        <w:spacing w:before="40" w:after="40" w:line="360" w:lineRule="auto"/>
        <w:ind w:right="-1"/>
        <w:rPr>
          <w:sz w:val="24"/>
          <w:szCs w:val="24"/>
        </w:rPr>
      </w:pPr>
      <w:bookmarkStart w:id="0" w:name="_Toc2"/>
      <w:r w:rsidRPr="005C75CE">
        <w:rPr>
          <w:sz w:val="24"/>
          <w:szCs w:val="24"/>
        </w:rPr>
        <w:t>1.1. Пояснительная записка</w:t>
      </w:r>
      <w:bookmarkEnd w:id="0"/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bookmarkStart w:id="1" w:name="_Toc3"/>
      <w:r w:rsidRPr="005C75CE">
        <w:rPr>
          <w:rFonts w:ascii="Times New Roman" w:hAnsi="Times New Roman" w:cs="Times New Roman"/>
          <w:color w:val="auto"/>
        </w:rPr>
        <w:t>Нормативные правовые основы разработки ДООП:</w:t>
      </w:r>
      <w:bookmarkEnd w:id="1"/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01.09.2020)—URL:http://www.consultant.ru/document/cons_doc_LAW_140174 (дата обращения: 28.09.2020). 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4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4"/>
        <w:rPr>
          <w:sz w:val="24"/>
          <w:szCs w:val="24"/>
        </w:rPr>
      </w:pPr>
      <w:r w:rsidRPr="005C75CE">
        <w:rPr>
          <w:bCs/>
          <w:sz w:val="24"/>
          <w:szCs w:val="24"/>
        </w:rPr>
        <w:t>САНИТАРНЫЕ ПРАВИЛА САНИТАРНО-ЭПИДЕМИОЛОГИЧЕСКИЕ ТРЕБОВАНИЯ  К ОРГАНИЗАЦИЯМ ВОСПИТАНИЯ И ОБУЧЕНИЯ, ОТДЫХА  И ОЗДОРОВЛЕНИЯ ДЕТЕЙ И МОЛОДЕЖИ СП 2.4.3648-20</w:t>
      </w:r>
      <w:r w:rsidRPr="005C75CE">
        <w:rPr>
          <w:sz w:val="24"/>
          <w:szCs w:val="24"/>
        </w:rPr>
        <w:t xml:space="preserve"> УТВЕРЖДЕНЫ постановлением Главного государственного санитарного врача Российской Федерации от 28 сентября 2020 года № 28 Зарегистрировано в Министерстве юстиции Российской Федерации 18 декабря 2020 года регистрационный № 61573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4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4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4"/>
        <w:rPr>
          <w:rStyle w:val="fStyleText"/>
          <w:rFonts w:eastAsiaTheme="majorEastAsia"/>
          <w:color w:val="auto"/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30.12.2015 № 1493)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3"/>
        <w:rPr>
          <w:sz w:val="24"/>
          <w:szCs w:val="24"/>
        </w:rPr>
      </w:pPr>
      <w:r w:rsidRPr="005C75CE">
        <w:rPr>
          <w:sz w:val="24"/>
          <w:szCs w:val="24"/>
        </w:rPr>
        <w:t>МКОУ «Чистоозёрская СОШ Завьяловского района» имени вице–адмирала Петра Максимовича Ярового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3"/>
        <w:rPr>
          <w:sz w:val="24"/>
          <w:szCs w:val="24"/>
        </w:rPr>
      </w:pPr>
      <w:r w:rsidRPr="005C75CE">
        <w:rPr>
          <w:sz w:val="24"/>
          <w:szCs w:val="24"/>
        </w:rPr>
        <w:t>Положение о дополнительных общеобразовательных программах, реализуемых в МКОУ «Чистоозёрская СОШ Завьяловского района» имени вице–адмирала Петра Максимовича Ярового</w:t>
      </w:r>
    </w:p>
    <w:p w:rsidR="00001ACB" w:rsidRPr="005C75CE" w:rsidRDefault="00001ACB" w:rsidP="00001ACB">
      <w:pPr>
        <w:pStyle w:val="pStyleText"/>
        <w:numPr>
          <w:ilvl w:val="0"/>
          <w:numId w:val="17"/>
        </w:numPr>
        <w:spacing w:before="40" w:after="40" w:line="240" w:lineRule="auto"/>
        <w:ind w:left="0" w:right="-1" w:hanging="283"/>
        <w:rPr>
          <w:sz w:val="24"/>
          <w:szCs w:val="24"/>
        </w:rPr>
      </w:pPr>
      <w:r w:rsidRPr="005C75CE">
        <w:rPr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№16). — URL: http://www.consultant.ru/document/cons_doc_LAW_319308/ (дата обращения: 10.03.2021).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</w:t>
      </w:r>
      <w:r w:rsidRPr="005C75C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№Р-4) — URL: http://www.consultant.ru/ document/cons_doc_LAW_374695/ (дата обращения: 10.03.2021).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>— URL: http://www.consultant.ru/ document/cons_doc_LAW_374572/ (</w:t>
      </w:r>
      <w:r w:rsidRPr="005C75CE">
        <w:rPr>
          <w:rFonts w:ascii="Times New Roman" w:hAnsi="Times New Roman" w:cs="Times New Roman"/>
          <w:sz w:val="24"/>
          <w:szCs w:val="24"/>
        </w:rPr>
        <w:t>датаобращения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 xml:space="preserve">: 10.03.2021). </w:t>
      </w:r>
    </w:p>
    <w:p w:rsidR="00001ACB" w:rsidRPr="005C75CE" w:rsidRDefault="00001ACB" w:rsidP="00001ACB">
      <w:pPr>
        <w:pStyle w:val="a7"/>
        <w:widowControl w:val="0"/>
        <w:numPr>
          <w:ilvl w:val="0"/>
          <w:numId w:val="17"/>
        </w:numPr>
        <w:suppressAutoHyphens/>
        <w:spacing w:before="40" w:after="40" w:line="24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  12  января 2021 г. № Р-6).  — URL: http://www.consultant.ru/document/cons_doc_ LAW_374694/ (дата обращения: 10.03.2021).</w:t>
      </w:r>
    </w:p>
    <w:p w:rsidR="00D62DAC" w:rsidRPr="005C75CE" w:rsidRDefault="00001ACB" w:rsidP="00001ACB">
      <w:pPr>
        <w:pStyle w:val="3"/>
        <w:spacing w:before="40" w:after="40" w:line="360" w:lineRule="auto"/>
        <w:ind w:right="-1"/>
        <w:jc w:val="center"/>
        <w:rPr>
          <w:rFonts w:ascii="Times New Roman" w:hAnsi="Times New Roman" w:cs="Times New Roman"/>
          <w:color w:val="auto"/>
        </w:rPr>
      </w:pPr>
      <w:r w:rsidRPr="005C75CE">
        <w:rPr>
          <w:rFonts w:ascii="Times New Roman" w:hAnsi="Times New Roman" w:cs="Times New Roman"/>
          <w:color w:val="auto"/>
        </w:rPr>
        <w:t>Актуальность.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Программа «Эта загадочная химия»  предназначена для обучающихся </w:t>
      </w:r>
      <w:r w:rsidR="0002365E" w:rsidRPr="005C75CE">
        <w:rPr>
          <w:rFonts w:ascii="Times New Roman" w:hAnsi="Times New Roman" w:cs="Times New Roman"/>
          <w:sz w:val="24"/>
          <w:szCs w:val="24"/>
        </w:rPr>
        <w:t>5</w:t>
      </w:r>
      <w:r w:rsidR="00001ACB" w:rsidRPr="005C75CE">
        <w:rPr>
          <w:rFonts w:ascii="Times New Roman" w:hAnsi="Times New Roman" w:cs="Times New Roman"/>
          <w:sz w:val="24"/>
          <w:szCs w:val="24"/>
        </w:rPr>
        <w:t>-6</w:t>
      </w:r>
      <w:r w:rsidRPr="005C75CE">
        <w:rPr>
          <w:rFonts w:ascii="Times New Roman" w:hAnsi="Times New Roman" w:cs="Times New Roman"/>
          <w:sz w:val="24"/>
          <w:szCs w:val="24"/>
        </w:rPr>
        <w:t xml:space="preserve"> классов. Программа имеет естественно – научную направленность</w:t>
      </w:r>
      <w:r w:rsidR="00E74214" w:rsidRPr="005C75CE">
        <w:rPr>
          <w:rFonts w:ascii="Times New Roman" w:hAnsi="Times New Roman" w:cs="Times New Roman"/>
          <w:sz w:val="24"/>
          <w:szCs w:val="24"/>
        </w:rPr>
        <w:t>, реализуется на базе центра «Точка роста», рассчитана на 34 часа (</w:t>
      </w:r>
      <w:r w:rsidRPr="005C75CE">
        <w:rPr>
          <w:rFonts w:ascii="Times New Roman" w:hAnsi="Times New Roman" w:cs="Times New Roman"/>
          <w:sz w:val="24"/>
          <w:szCs w:val="24"/>
        </w:rPr>
        <w:t>1 час в неделю). Содержание программы знакомит обучающихся со свойствами и применением веществ и материалов, встречающихся в наших домах и окружающей среде, поэтому уровень освоения программы можно определить как общекультурный.</w:t>
      </w:r>
    </w:p>
    <w:p w:rsidR="00D62DAC" w:rsidRPr="005C75CE" w:rsidRDefault="00D62DAC" w:rsidP="00E742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Содержание программы актуально тем, что ребёнок с рождения окружён различными веществами и должен уметь обращаться с ними</w:t>
      </w:r>
      <w:r w:rsidRPr="005C75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C75CE">
        <w:rPr>
          <w:rFonts w:ascii="Times New Roman" w:hAnsi="Times New Roman" w:cs="Times New Roman"/>
          <w:sz w:val="24"/>
          <w:szCs w:val="24"/>
        </w:rPr>
        <w:t>Знакомство учащихся с веществами, из которых состоит окружающий мир, позволяет раскрыть важнейшие взаимосвязи человека и веществ в среде его обитания.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Данный курс «Эта загадочная химия» был создан с целью формирования интереса к химии, расширения кругозора учащихся. Он ориентирован на учащихся </w:t>
      </w:r>
      <w:r w:rsidR="00E74214" w:rsidRPr="005C75CE">
        <w:rPr>
          <w:rFonts w:ascii="Times New Roman" w:hAnsi="Times New Roman" w:cs="Times New Roman"/>
          <w:sz w:val="24"/>
          <w:szCs w:val="24"/>
        </w:rPr>
        <w:t>4</w:t>
      </w:r>
      <w:r w:rsidRPr="005C75CE">
        <w:rPr>
          <w:rFonts w:ascii="Times New Roman" w:hAnsi="Times New Roman" w:cs="Times New Roman"/>
          <w:sz w:val="24"/>
          <w:szCs w:val="24"/>
        </w:rPr>
        <w:t xml:space="preserve">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С учетом психологических особенностей детей этого возраста курс построен по принципу позитивного эгоцентризма, то есть от ребенка: «Я и вещества вокруг меня». Новизна 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 Программа составлена с учётом возрастных особенностей и возможностей детей; в то же время  содержит большой развивающий потенциал. На занятиях ребята знакомятся с  лабораторным  оборудованием, приобретают навыки работы с химической посудой и учатся проводить простейшие эксперименты с соблюдением правил техники безопасности. 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 xml:space="preserve">На этих  занятиях  должна быть так организована  деятельность  каждого ученика, чтобы он мог ощутить свою уникальность и востребованность. </w:t>
      </w:r>
      <w:r w:rsidRPr="005C75CE">
        <w:rPr>
          <w:rFonts w:ascii="Times New Roman" w:hAnsi="Times New Roman" w:cs="Times New Roman"/>
          <w:sz w:val="24"/>
          <w:szCs w:val="24"/>
        </w:rPr>
        <w:t>Внеурочный курс «Эта загадочная химия» содержит материал, который является подготовительным при изучении основного курса химии. Он знакомит учащихся</w:t>
      </w:r>
      <w:r w:rsidR="0002365E" w:rsidRPr="005C75CE">
        <w:rPr>
          <w:rFonts w:ascii="Times New Roman" w:hAnsi="Times New Roman" w:cs="Times New Roman"/>
          <w:sz w:val="24"/>
          <w:szCs w:val="24"/>
        </w:rPr>
        <w:t>5</w:t>
      </w:r>
      <w:r w:rsidRPr="005C75CE">
        <w:rPr>
          <w:rFonts w:ascii="Times New Roman" w:hAnsi="Times New Roman" w:cs="Times New Roman"/>
          <w:sz w:val="24"/>
          <w:szCs w:val="24"/>
        </w:rPr>
        <w:t xml:space="preserve"> класса с многочисленными явлениями химии, показывает учащимся роль химии в окружающей их действительности, раскрывает перед ними широкую перспективу использования химии в их повседневной жизни. </w:t>
      </w:r>
    </w:p>
    <w:p w:rsidR="00001ACB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Данный  курс создает благоприятные возможности для развития творческих способностей учащихся. </w:t>
      </w:r>
      <w:r w:rsidR="0002365E" w:rsidRPr="005C75CE">
        <w:rPr>
          <w:rFonts w:ascii="Times New Roman" w:hAnsi="Times New Roman" w:cs="Times New Roman"/>
          <w:sz w:val="24"/>
          <w:szCs w:val="24"/>
        </w:rPr>
        <w:t>Электив</w:t>
      </w:r>
      <w:r w:rsidRPr="005C75CE">
        <w:rPr>
          <w:rFonts w:ascii="Times New Roman" w:hAnsi="Times New Roman" w:cs="Times New Roman"/>
          <w:sz w:val="24"/>
          <w:szCs w:val="24"/>
        </w:rPr>
        <w:t>ный курс «Эта загадочная химия» предполагает тесную связь при изучении химии, биологии, физики,  экологии,  способствуя тем самым реализации межпредметных связей. Это позволяет соединить  и обобщить знания, которые учащиеся получали при изучении разных предметов, создать у обучающихся целостное представление о природе и природных явлениях.</w:t>
      </w:r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r w:rsidRPr="005C75CE">
        <w:rPr>
          <w:rFonts w:ascii="Times New Roman" w:hAnsi="Times New Roman" w:cs="Times New Roman"/>
          <w:color w:val="auto"/>
        </w:rPr>
        <w:lastRenderedPageBreak/>
        <w:t>Вид ДООП:</w:t>
      </w:r>
    </w:p>
    <w:p w:rsidR="00001ACB" w:rsidRPr="005C75CE" w:rsidRDefault="00001ACB" w:rsidP="00001ACB">
      <w:pPr>
        <w:pStyle w:val="pStyleText"/>
        <w:spacing w:before="40" w:after="40" w:line="240" w:lineRule="auto"/>
        <w:ind w:right="-1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bookmarkStart w:id="2" w:name="_Toc7"/>
      <w:r w:rsidRPr="005C75CE">
        <w:rPr>
          <w:rFonts w:ascii="Times New Roman" w:hAnsi="Times New Roman" w:cs="Times New Roman"/>
          <w:color w:val="auto"/>
        </w:rPr>
        <w:t>Направленность ДООП:</w:t>
      </w:r>
      <w:bookmarkEnd w:id="2"/>
    </w:p>
    <w:p w:rsidR="00001ACB" w:rsidRPr="005C75CE" w:rsidRDefault="00001ACB" w:rsidP="00001ACB">
      <w:pPr>
        <w:pStyle w:val="pStyleText"/>
        <w:spacing w:before="40" w:after="40" w:line="360" w:lineRule="auto"/>
        <w:ind w:right="-1"/>
        <w:rPr>
          <w:sz w:val="24"/>
          <w:szCs w:val="24"/>
        </w:rPr>
      </w:pPr>
      <w:r w:rsidRPr="005C75CE">
        <w:rPr>
          <w:sz w:val="24"/>
          <w:szCs w:val="24"/>
        </w:rPr>
        <w:t>естественно-научная</w:t>
      </w:r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bookmarkStart w:id="3" w:name="_Toc8"/>
      <w:r w:rsidRPr="005C75CE">
        <w:rPr>
          <w:rFonts w:ascii="Times New Roman" w:hAnsi="Times New Roman" w:cs="Times New Roman"/>
          <w:color w:val="auto"/>
        </w:rPr>
        <w:t>Адресат ДООП:</w:t>
      </w:r>
      <w:bookmarkEnd w:id="3"/>
    </w:p>
    <w:p w:rsidR="00001ACB" w:rsidRPr="005C75CE" w:rsidRDefault="00001ACB" w:rsidP="00001ACB">
      <w:pPr>
        <w:pStyle w:val="pStyleText"/>
        <w:spacing w:before="40" w:after="40" w:line="360" w:lineRule="auto"/>
        <w:ind w:right="-1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Программа рассчитана на учащихся 1</w:t>
      </w:r>
      <w:r w:rsidRPr="005C75CE">
        <w:rPr>
          <w:rStyle w:val="fStyleText"/>
          <w:color w:val="auto"/>
          <w:sz w:val="24"/>
          <w:szCs w:val="24"/>
        </w:rPr>
        <w:t>1</w:t>
      </w:r>
      <w:r w:rsidRPr="005C75CE">
        <w:rPr>
          <w:rStyle w:val="fStyleText"/>
          <w:rFonts w:eastAsiaTheme="majorEastAsia"/>
          <w:color w:val="auto"/>
          <w:sz w:val="24"/>
          <w:szCs w:val="24"/>
        </w:rPr>
        <w:t>-12 лет</w:t>
      </w:r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bookmarkStart w:id="4" w:name="_Toc9"/>
      <w:r w:rsidRPr="005C75CE">
        <w:rPr>
          <w:rFonts w:ascii="Times New Roman" w:hAnsi="Times New Roman" w:cs="Times New Roman"/>
          <w:color w:val="auto"/>
        </w:rPr>
        <w:t>Срок и объем освоения ДООП:</w:t>
      </w:r>
      <w:bookmarkEnd w:id="4"/>
    </w:p>
    <w:p w:rsidR="00001ACB" w:rsidRPr="005C75CE" w:rsidRDefault="00001ACB" w:rsidP="00001ACB">
      <w:pPr>
        <w:pStyle w:val="pStyleText"/>
        <w:spacing w:before="40" w:after="40" w:line="360" w:lineRule="auto"/>
        <w:ind w:right="-1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1 год, с 01.09.2022г.  по 30.05.2023г, 34 педагогических часов</w:t>
      </w:r>
    </w:p>
    <w:p w:rsidR="00001ACB" w:rsidRPr="005C75CE" w:rsidRDefault="00001ACB" w:rsidP="00001ACB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auto"/>
        </w:rPr>
      </w:pPr>
      <w:bookmarkStart w:id="5" w:name="_Toc10"/>
      <w:r w:rsidRPr="005C75CE">
        <w:rPr>
          <w:rFonts w:ascii="Times New Roman" w:hAnsi="Times New Roman" w:cs="Times New Roman"/>
          <w:color w:val="auto"/>
        </w:rPr>
        <w:t>Форма обучения:</w:t>
      </w:r>
      <w:bookmarkEnd w:id="5"/>
    </w:p>
    <w:p w:rsidR="00001ACB" w:rsidRPr="005C75CE" w:rsidRDefault="00001ACB" w:rsidP="00001ACB">
      <w:pPr>
        <w:pStyle w:val="pStyleText"/>
        <w:spacing w:before="40" w:after="40" w:line="360" w:lineRule="auto"/>
        <w:ind w:right="-1"/>
        <w:rPr>
          <w:sz w:val="24"/>
          <w:szCs w:val="24"/>
        </w:rPr>
      </w:pPr>
      <w:r w:rsidRPr="005C75CE">
        <w:rPr>
          <w:rStyle w:val="fStyleText"/>
          <w:rFonts w:eastAsiaTheme="majorEastAsia"/>
          <w:color w:val="auto"/>
          <w:sz w:val="24"/>
          <w:szCs w:val="24"/>
        </w:rPr>
        <w:t>Очная</w:t>
      </w:r>
      <w:bookmarkStart w:id="6" w:name="_Toc13"/>
    </w:p>
    <w:p w:rsidR="00001ACB" w:rsidRPr="005C75CE" w:rsidRDefault="00001ACB" w:rsidP="00001ACB">
      <w:pPr>
        <w:pStyle w:val="2"/>
        <w:spacing w:before="40" w:after="40"/>
        <w:ind w:right="-1"/>
        <w:rPr>
          <w:sz w:val="24"/>
          <w:szCs w:val="24"/>
        </w:rPr>
      </w:pPr>
      <w:r w:rsidRPr="005C75CE">
        <w:rPr>
          <w:sz w:val="24"/>
          <w:szCs w:val="24"/>
        </w:rPr>
        <w:t>1.2. Цель, задачи, ожидаемые результаты</w:t>
      </w:r>
      <w:bookmarkEnd w:id="6"/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Цель</w:t>
      </w:r>
      <w:r w:rsidRPr="005C75CE">
        <w:rPr>
          <w:rFonts w:ascii="Times New Roman" w:hAnsi="Times New Roman" w:cs="Times New Roman"/>
          <w:sz w:val="24"/>
          <w:szCs w:val="24"/>
        </w:rPr>
        <w:t xml:space="preserve"> курса «Эта загадочная химия» -  создание  условий для развития разносторонних интересов и индивидуальных способностей учашихся,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D62DAC" w:rsidRPr="005C75CE" w:rsidRDefault="00D62DAC" w:rsidP="00E74214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C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62DAC" w:rsidRPr="005C75CE" w:rsidRDefault="00D62DAC" w:rsidP="00E7421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Развивать способности к самостоятельному приобретению знаний.</w:t>
      </w:r>
    </w:p>
    <w:p w:rsidR="00D62DAC" w:rsidRPr="005C75CE" w:rsidRDefault="00D62DAC" w:rsidP="00E7421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Расширить межпредметные связи между химией и другими науками.</w:t>
      </w:r>
    </w:p>
    <w:p w:rsidR="00D62DAC" w:rsidRPr="005C75CE" w:rsidRDefault="00D62DAC" w:rsidP="00E7421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Научить проводить простейшие эксперименты.</w:t>
      </w:r>
    </w:p>
    <w:p w:rsidR="00D62DAC" w:rsidRPr="005C75CE" w:rsidRDefault="00D62DAC" w:rsidP="00D62DAC">
      <w:pPr>
        <w:numPr>
          <w:ilvl w:val="0"/>
          <w:numId w:val="3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Научиться видеть физические и химические явления в простых бытовых ситуациях.</w:t>
      </w:r>
    </w:p>
    <w:p w:rsidR="00D62DAC" w:rsidRPr="005C75CE" w:rsidRDefault="00D62DAC" w:rsidP="00D62DAC">
      <w:pPr>
        <w:numPr>
          <w:ilvl w:val="0"/>
          <w:numId w:val="3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Привить интерес к предмету, к добыванию знаний с учетом возраста детей и их способностей. </w:t>
      </w:r>
    </w:p>
    <w:p w:rsidR="00D62DAC" w:rsidRPr="005C75CE" w:rsidRDefault="00D62DAC" w:rsidP="00D62DAC">
      <w:pPr>
        <w:numPr>
          <w:ilvl w:val="0"/>
          <w:numId w:val="3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продолжить формирование знаний о методах научного познания природы, умений, связанных с выполнением учебного исследования;</w:t>
      </w:r>
    </w:p>
    <w:p w:rsidR="00D62DAC" w:rsidRPr="005C75CE" w:rsidRDefault="00D62DAC" w:rsidP="00D62DAC">
      <w:pPr>
        <w:numPr>
          <w:ilvl w:val="0"/>
          <w:numId w:val="3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продолжить формирование бережного отношения к природе.</w:t>
      </w:r>
    </w:p>
    <w:p w:rsidR="00001ACB" w:rsidRPr="005C75CE" w:rsidRDefault="00001ACB" w:rsidP="00D62DAC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62DAC" w:rsidRPr="005C75CE" w:rsidRDefault="00D62DAC" w:rsidP="00D62DAC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75C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62DAC" w:rsidRPr="005C75CE" w:rsidRDefault="00D62DAC" w:rsidP="00D62DAC">
      <w:pPr>
        <w:numPr>
          <w:ilvl w:val="0"/>
          <w:numId w:val="8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ценностно-ориентационной сфере</w:t>
      </w:r>
      <w:r w:rsidRPr="005C75CE">
        <w:rPr>
          <w:rFonts w:ascii="Times New Roman" w:hAnsi="Times New Roman" w:cs="Times New Roman"/>
          <w:bCs/>
          <w:sz w:val="24"/>
          <w:szCs w:val="24"/>
        </w:rPr>
        <w:t>– чувство гордости за химическую науку, гуманизм, отношение к труду, целеустремленность, самоконтроль и самооценка;</w:t>
      </w:r>
    </w:p>
    <w:p w:rsidR="00D62DAC" w:rsidRPr="005C75CE" w:rsidRDefault="00D62DAC" w:rsidP="00D62DAC">
      <w:pPr>
        <w:numPr>
          <w:ilvl w:val="0"/>
          <w:numId w:val="8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трудовой сфере</w:t>
      </w:r>
      <w:r w:rsidRPr="005C75CE">
        <w:rPr>
          <w:rFonts w:ascii="Times New Roman" w:hAnsi="Times New Roman" w:cs="Times New Roman"/>
          <w:bCs/>
          <w:sz w:val="24"/>
          <w:szCs w:val="24"/>
        </w:rPr>
        <w:t>– готовность к осознанному выбору дальнейшей образовательной траектории;</w:t>
      </w:r>
    </w:p>
    <w:p w:rsidR="00D62DAC" w:rsidRPr="005C75CE" w:rsidRDefault="00D62DAC" w:rsidP="00D62DAC">
      <w:pPr>
        <w:numPr>
          <w:ilvl w:val="0"/>
          <w:numId w:val="8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познавательной (когнитивной, интеллектуальной) сфере</w:t>
      </w:r>
      <w:r w:rsidRPr="005C75CE">
        <w:rPr>
          <w:rFonts w:ascii="Times New Roman" w:hAnsi="Times New Roman" w:cs="Times New Roman"/>
          <w:bCs/>
          <w:sz w:val="24"/>
          <w:szCs w:val="24"/>
        </w:rPr>
        <w:t xml:space="preserve"> – мотивация учения, умение управлять своей познавательной деятельностью.</w:t>
      </w:r>
    </w:p>
    <w:p w:rsidR="00D62DAC" w:rsidRPr="005C75CE" w:rsidRDefault="00D62DAC" w:rsidP="00D62DAC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75C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D62DAC" w:rsidRPr="005C75CE" w:rsidRDefault="00D62DAC" w:rsidP="00D62DAC">
      <w:pPr>
        <w:numPr>
          <w:ilvl w:val="0"/>
          <w:numId w:val="9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</w:t>
      </w:r>
    </w:p>
    <w:p w:rsidR="00D62DAC" w:rsidRPr="005C75CE" w:rsidRDefault="00D62DAC" w:rsidP="00D62DAC">
      <w:pPr>
        <w:numPr>
          <w:ilvl w:val="0"/>
          <w:numId w:val="9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D62DAC" w:rsidRPr="005C75CE" w:rsidRDefault="00D62DAC" w:rsidP="00D62DAC">
      <w:pPr>
        <w:numPr>
          <w:ilvl w:val="0"/>
          <w:numId w:val="9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умение определять цели и задачи деятельности, выбирать средства реализации  цели и применять их на практике;</w:t>
      </w:r>
    </w:p>
    <w:p w:rsidR="00D62DAC" w:rsidRPr="005C75CE" w:rsidRDefault="00D62DAC" w:rsidP="00D62DAC">
      <w:pPr>
        <w:numPr>
          <w:ilvl w:val="0"/>
          <w:numId w:val="9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использование различных источников для получения химической информации.</w:t>
      </w:r>
    </w:p>
    <w:p w:rsidR="00D62DAC" w:rsidRPr="005C75CE" w:rsidRDefault="00D62DAC" w:rsidP="00D62DAC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75C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62DAC" w:rsidRPr="005C75CE" w:rsidRDefault="00D62DAC" w:rsidP="00D62DAC">
      <w:pPr>
        <w:numPr>
          <w:ilvl w:val="1"/>
          <w:numId w:val="7"/>
        </w:numPr>
        <w:spacing w:after="12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познавательной сфере:</w:t>
      </w:r>
    </w:p>
    <w:p w:rsidR="00D62DAC" w:rsidRPr="005C75CE" w:rsidRDefault="00D62DAC" w:rsidP="00D62DAC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давать определения изученных понятий;</w:t>
      </w:r>
    </w:p>
    <w:p w:rsidR="00D62DAC" w:rsidRPr="005C75CE" w:rsidRDefault="00D62DAC" w:rsidP="00D62DAC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D62DAC" w:rsidRPr="005C75CE" w:rsidRDefault="00D62DAC" w:rsidP="00D62DAC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lastRenderedPageBreak/>
        <w:t>классифицировать изученные объекты и явления;</w:t>
      </w:r>
    </w:p>
    <w:p w:rsidR="00D62DAC" w:rsidRPr="005C75CE" w:rsidRDefault="00D62DAC" w:rsidP="00D62DAC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делать выводы и умозаключения из наблюдений, изученных химических закономерностей;</w:t>
      </w:r>
    </w:p>
    <w:p w:rsidR="00D62DAC" w:rsidRPr="005C75CE" w:rsidRDefault="00D62DAC" w:rsidP="00D62DAC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D62DAC" w:rsidRPr="005C75CE" w:rsidRDefault="00D62DAC" w:rsidP="00D62DAC">
      <w:pPr>
        <w:numPr>
          <w:ilvl w:val="1"/>
          <w:numId w:val="7"/>
        </w:numPr>
        <w:spacing w:after="12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ценностно-ориентационной сфере:</w:t>
      </w:r>
    </w:p>
    <w:p w:rsidR="00D62DAC" w:rsidRPr="005C75CE" w:rsidRDefault="00D62DAC" w:rsidP="00D62DAC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D62DAC" w:rsidRPr="005C75CE" w:rsidRDefault="00D62DAC" w:rsidP="00D62DAC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D62DAC" w:rsidRPr="005C75CE" w:rsidRDefault="00D62DAC" w:rsidP="00D62DAC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строить свое поведение в соответствии с принципами бережного отношения к природе.</w:t>
      </w:r>
    </w:p>
    <w:p w:rsidR="00D62DAC" w:rsidRPr="005C75CE" w:rsidRDefault="00D62DAC" w:rsidP="00D62DAC">
      <w:pPr>
        <w:numPr>
          <w:ilvl w:val="1"/>
          <w:numId w:val="7"/>
        </w:numPr>
        <w:spacing w:after="12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трудовой сфере:</w:t>
      </w:r>
    </w:p>
    <w:p w:rsidR="00D62DAC" w:rsidRPr="005C75CE" w:rsidRDefault="00D62DAC" w:rsidP="00D62DAC">
      <w:pPr>
        <w:numPr>
          <w:ilvl w:val="0"/>
          <w:numId w:val="12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Планировать и проводить химический эксперимент;</w:t>
      </w:r>
    </w:p>
    <w:p w:rsidR="00D62DAC" w:rsidRPr="005C75CE" w:rsidRDefault="00D62DAC" w:rsidP="00D62DAC">
      <w:pPr>
        <w:numPr>
          <w:ilvl w:val="0"/>
          <w:numId w:val="12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D62DAC" w:rsidRPr="005C75CE" w:rsidRDefault="00D62DAC" w:rsidP="00D62DAC">
      <w:pPr>
        <w:numPr>
          <w:ilvl w:val="1"/>
          <w:numId w:val="7"/>
        </w:numPr>
        <w:spacing w:after="12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C75CE">
        <w:rPr>
          <w:rFonts w:ascii="Times New Roman" w:hAnsi="Times New Roman" w:cs="Times New Roman"/>
          <w:bCs/>
          <w:i/>
          <w:sz w:val="24"/>
          <w:szCs w:val="24"/>
        </w:rPr>
        <w:t>В сфере безопасности жизнедеятельности:</w:t>
      </w:r>
    </w:p>
    <w:p w:rsidR="00D62DAC" w:rsidRPr="005C75CE" w:rsidRDefault="00D62DAC" w:rsidP="00D62DAC">
      <w:pPr>
        <w:numPr>
          <w:ilvl w:val="0"/>
          <w:numId w:val="13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75CE">
        <w:rPr>
          <w:rFonts w:ascii="Times New Roman" w:hAnsi="Times New Roman" w:cs="Times New Roman"/>
          <w:bCs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before="40" w:after="4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CE">
        <w:rPr>
          <w:rFonts w:ascii="Times New Roman" w:hAnsi="Times New Roman" w:cs="Times New Roman"/>
          <w:b/>
          <w:bCs/>
          <w:sz w:val="24"/>
          <w:szCs w:val="24"/>
        </w:rPr>
        <w:t>1.3 Содержание программы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5C75CE">
        <w:rPr>
          <w:rFonts w:ascii="Times New Roman" w:hAnsi="Times New Roman" w:cs="Times New Roman"/>
          <w:sz w:val="24"/>
          <w:szCs w:val="24"/>
        </w:rPr>
        <w:t>Естественные науки – науки, изучающие природу: химия, биология, география, физика. Методы изучения природы: измерение, эксперимент, наблюдение, прогнозирование. Химия - наука о веществах. Ознакомление с лабораторным оборудованием, химической посудой. Приёмы обращения с лабораторным оборудованием. Правила поведения в лаборатории.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5C75CE">
        <w:rPr>
          <w:rFonts w:ascii="Times New Roman" w:hAnsi="Times New Roman" w:cs="Times New Roman"/>
          <w:sz w:val="24"/>
          <w:szCs w:val="24"/>
        </w:rPr>
        <w:t xml:space="preserve"> «Знакомство с лабораторным оборудованием. Правила ТБ при выполнении опытов». Простейшие операции с веществом. Выполнение операций наливания, насыпания, взвешивания. 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Тема 1. Мир веществ. 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Знакомство с частицами из которых состоит окружающий мир: молекулы, атомы, химические элементы. Дом, в котором живут химические элементы (ПСХЭ Менделеева), ознакомление с некоторыми знаками хим. элементов (кислород, водород, сера, железо ). Тела и вещества. Строение твердых, жидких и газообразных тел. Свойства жидких и газообразных тел.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Взаимодействие молекул в твердых, жидких, газообразных телах. Диффузия. Вещества чистые и смеси, простые и сложные.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Явления природы. Физические и химические явления, химические реакции. Горение и окисление. Использование че</w:t>
      </w:r>
      <w:r w:rsidRPr="005C75CE">
        <w:rPr>
          <w:rFonts w:ascii="Times New Roman" w:hAnsi="Times New Roman" w:cs="Times New Roman"/>
          <w:sz w:val="24"/>
          <w:szCs w:val="24"/>
        </w:rPr>
        <w:softHyphen/>
        <w:t>ловеком физических и химических явлений природы в повседневной жизни.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Практическая работа №2 «Разделение смесей»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ab/>
      </w:r>
      <w:r w:rsidRPr="005C75CE">
        <w:rPr>
          <w:rFonts w:ascii="Times New Roman" w:hAnsi="Times New Roman" w:cs="Times New Roman"/>
          <w:i/>
          <w:sz w:val="24"/>
          <w:szCs w:val="24"/>
        </w:rPr>
        <w:t>Лабораторные  работы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1. Знакомство с телами и веществами.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2. Наблюдение различных состояний веществ.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3.Описание физ. свойств  веществ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4.Примеры физ. и хим. явлений в быту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5.Горение свечи на воздухе.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Темы исследовательских работ: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Физические и химические явления в жизни человека.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Смеси в природе и быту.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Горение - польза и вред.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Тема 2. Вода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Вода, её свойства. Способы очистки воды  в быту  и её обеззараживание в туристическом походе. Растворы насыщенные и ненасыщенные. Минеральные воды. Кристаллы. Три состояния воды. Изменение объема воды при нагревании.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lastRenderedPageBreak/>
        <w:t>Вода — растворитель. Растворимые и нерастворимые вещества. Растворы в природе. Работа воды в природе. Образование пещер, оврагов, ущелий. Значение воды в природе. Использование воды человеком. Охрана воды.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Практическая работа №3 «Определение растворимости веществ в воде» Практическая работа №4 «Простейшие приёмы очистки воды» (отстаивание, фильтрование, выпаривание.)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Лабораторные опыты: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6.Описание свойств воды.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 Растворы и их  свойства. «Тяжёлые» растворы. Кристалл – чудо природы. Информационные свойства воды. Экологические плакаты «Берегите воду!»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Тема 3</w:t>
      </w:r>
      <w:r w:rsidRPr="005C75CE">
        <w:rPr>
          <w:rFonts w:ascii="Times New Roman" w:hAnsi="Times New Roman" w:cs="Times New Roman"/>
          <w:sz w:val="24"/>
          <w:szCs w:val="24"/>
        </w:rPr>
        <w:t xml:space="preserve">. </w:t>
      </w:r>
      <w:r w:rsidRPr="005C75CE">
        <w:rPr>
          <w:rFonts w:ascii="Times New Roman" w:hAnsi="Times New Roman" w:cs="Times New Roman"/>
          <w:b/>
          <w:sz w:val="24"/>
          <w:szCs w:val="24"/>
        </w:rPr>
        <w:t xml:space="preserve">Воздух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Состав воздуха. Значение воздуха для жи</w:t>
      </w:r>
      <w:r w:rsidRPr="005C75CE">
        <w:rPr>
          <w:rFonts w:ascii="Times New Roman" w:hAnsi="Times New Roman" w:cs="Times New Roman"/>
          <w:sz w:val="24"/>
          <w:szCs w:val="24"/>
        </w:rPr>
        <w:softHyphen/>
        <w:t>вых организмов. Изменение состава воздуха. Глобальные проблемы человечества: парниковый эффект, озоновые дыры, кислотные дожди. Пути решения этих проблем. Охрана воздуха.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Лабораторные опыты: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7.Обнаружение кислорода и углекислого газа в воздухе.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Темы исследовательских работ: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Парниковый эффект. Пути решения проблемы.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Кислотные дожди. Пути решения проблемы.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Озоновые дыры. Пути решения проблемы.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Экологические плакаты «Глобальные проблемы человечества»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Тема 4. Вещества пищи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Минеральные и органические вещества. Белки, углеводы, жиры: значение для организма. Чипсы, кока – кола и здоровье.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Железо, кальций, натрий, содержание в продуктах, значение. Кальций в природе. Образование жемчуга, кораллов.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Практическая работа №5 «Опыты с пищевыми продуктами: Обнаружение крахмала в муке, хлебе, крупах, картофеле. 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Обнаружение жира в семенах подсолнечника, льна, орехах  в  сравнении с чипсами.»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Практическая работа №6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«Опыты с кока – колой: поглощение красителя активированным углём, обнаружение кислоты и углекислого газа.»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Практическая работа №7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«Обнаружение кальция в зубном порошке, зубной пасте, в кусочке мела, яичной скорлупе». Опыт Клеопатры: распознавание настоящего жемчуга.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Проблемы правильного питания. Пищевые добавки. Диеты: питание и здоровье. Правильное питание – залог здоровья. Рациональное меню. «Сладкая» жизнь. Железо внутри нас. Соль жизни. 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Тема 5. Витамины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История открытия. Витамины водо – и жирорастворимые. Витамины А, В,С,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75CE">
        <w:rPr>
          <w:rFonts w:ascii="Times New Roman" w:hAnsi="Times New Roman" w:cs="Times New Roman"/>
          <w:sz w:val="24"/>
          <w:szCs w:val="24"/>
        </w:rPr>
        <w:t>, их значение, нахождение в продуктах. Авитаминоз.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Практическая работа №8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«Изучение содержания витаминов в продуктах питания  (изучение упаковок)».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Здоровье человека на Дальнем Востоке. Здоровье без лекарств. Витамины и возраст человека. Роль витаминов в жизни человека. Авитаминоз и его последствия.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Тема 5</w:t>
      </w:r>
      <w:r w:rsidRPr="005C75CE">
        <w:rPr>
          <w:rFonts w:ascii="Times New Roman" w:hAnsi="Times New Roman" w:cs="Times New Roman"/>
          <w:sz w:val="24"/>
          <w:szCs w:val="24"/>
        </w:rPr>
        <w:t xml:space="preserve">. </w:t>
      </w:r>
      <w:r w:rsidRPr="005C75CE">
        <w:rPr>
          <w:rFonts w:ascii="Times New Roman" w:hAnsi="Times New Roman" w:cs="Times New Roman"/>
          <w:b/>
          <w:sz w:val="24"/>
          <w:szCs w:val="24"/>
        </w:rPr>
        <w:t xml:space="preserve">История химии </w:t>
      </w:r>
    </w:p>
    <w:p w:rsidR="00001ACB" w:rsidRPr="005C75CE" w:rsidRDefault="00001ACB" w:rsidP="00001AC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Алхимический период в истории химии. Жизнь и научная деятельность Д.И. Менделеева и М.В. Ломоносова. Химическая революция. Основные направления развития современной химии.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75CE">
        <w:rPr>
          <w:rFonts w:ascii="Times New Roman" w:hAnsi="Times New Roman" w:cs="Times New Roman"/>
          <w:i/>
          <w:sz w:val="24"/>
          <w:szCs w:val="24"/>
        </w:rPr>
        <w:lastRenderedPageBreak/>
        <w:t>Темы исследовательских работ: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Жизнь и деятельность Д.И. Менделеева.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Жизнь и деятельность М.В. Ломоносова.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Алхимический период в истории химии. 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2.Комплекс организационно - педагогических условий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3838"/>
        <w:gridCol w:w="1133"/>
        <w:gridCol w:w="1996"/>
        <w:gridCol w:w="2121"/>
      </w:tblGrid>
      <w:tr w:rsidR="005C75CE" w:rsidRPr="005C75CE" w:rsidTr="00183FED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</w:p>
        </w:tc>
      </w:tr>
      <w:tr w:rsidR="005C75CE" w:rsidRPr="005C75CE" w:rsidTr="00183FED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ВВЕДЕНИЕ 4 ЧАСА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науки. Природа живая и неживая.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Химия – наука о веществах. Правила поведения в хим. кабинете.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rPr>
          <w:trHeight w:val="4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«Знакомство с лабораторным оборудованием. Правила ТБ при выполнении опытов»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rPr>
          <w:trHeight w:val="4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МИР ВЕЩЕСТВ – 11 ЧАСОВ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Тела и вещества.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1. Знакомство с телами и веществами.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2. Наблюдение различных состояний веществ.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Свойства твёрдых тел, жидкостей и газов.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3.Описание физ. св-в веществ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Вещества и смеси. Способы разделения смесей.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«Разделение смесей»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Путешествие в микромир.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Менделеевский дом.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Движение частиц вещества.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Взаимодействие частиц.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4.Примеры физ. и хим. явлений в быту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Горение и окисление.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5.Горение свечи на воздухе.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ВОДА – 6 ЧАСОВ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Вода – самое удивительное вещество на Земле.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6.Описание свойств воды.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Путешествие одной капли воды (круговорот воды в природе)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Вода в природе и жизни человека.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Практическая работа №3 «Определение растворимости веществ в воде»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Охрана вод. Какую воду мы пьём? Практическая работа №4 «Простейшие приёмы очистки воды»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ВОЗДУХ – 4 ЧАСА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Воздух. Химический состав воздуха, значение воздуха.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7.Обнаружение кислорода и углекислого газа в воздухе.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Охрана воздуха.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человечества: озоновые дыры, парниковый эффект, кислотные дожди. Пути их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ВЕЩЕСТВА ПИЩИ – 4 ЧАСА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Вещества пищи: минеральные и органические.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«Опыты с пищевыми продуктами: Обнаружение крахмала в муке, хлебе, крупах, картофеле.  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Обнаружение жира в семенах подсолнечника, льна, орехах  в  сравнении с чипсами.»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«Опыты с кока – колой: поглощение красителя активированным углём, обнаружение кислоты и углекислого газа.»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«Обнаружение кальция в зубном порошке, зубной пасте, в кусочке мела, яичной скорлупе».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ВИТАМИНЫ – 2 ЧАСА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«Изучение содержания витаминов в продуктах питания  (изучение упаковок)».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ИСТОРИЯ ХИМИИ – 3 ЧАСА</w:t>
            </w: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Алхимический период в истории химии. Жизнь и научная деятельность Д.И. Менделеева и </w:t>
            </w: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Ломоносова. Основные направления развития современной химии.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CE" w:rsidRPr="005C75CE" w:rsidTr="00183FE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Игровой марафон «Загадочная химия» (загадки, викторины, химические игры)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B" w:rsidRPr="005C75CE" w:rsidTr="00183FED"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B" w:rsidRPr="005C75CE" w:rsidRDefault="00001ACB" w:rsidP="00183FED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2.1 Календарный учебный график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4627" w:type="pct"/>
        <w:tblInd w:w="137" w:type="dxa"/>
        <w:tblLook w:val="04A0"/>
      </w:tblPr>
      <w:tblGrid>
        <w:gridCol w:w="1141"/>
        <w:gridCol w:w="6765"/>
        <w:gridCol w:w="1979"/>
      </w:tblGrid>
      <w:tr w:rsidR="005C75CE" w:rsidRPr="005C75CE" w:rsidTr="00183FED">
        <w:tc>
          <w:tcPr>
            <w:tcW w:w="577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5C75CE" w:rsidRPr="005C75CE" w:rsidTr="00183FED">
        <w:trPr>
          <w:trHeight w:val="516"/>
        </w:trPr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C75CE" w:rsidRPr="005C75CE" w:rsidTr="00183FED"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C75CE" w:rsidRPr="005C75CE" w:rsidTr="00183FED"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5C75CE" w:rsidRPr="005C75CE" w:rsidTr="00183FED"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 учебного года 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01.09.2022-31.05.2023</w:t>
            </w:r>
          </w:p>
        </w:tc>
      </w:tr>
      <w:tr w:rsidR="005C75CE" w:rsidRPr="005C75CE" w:rsidTr="00183FED"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01ACB" w:rsidRPr="005C75CE" w:rsidTr="00183FED">
        <w:tc>
          <w:tcPr>
            <w:tcW w:w="577" w:type="pct"/>
            <w:vAlign w:val="center"/>
          </w:tcPr>
          <w:p w:rsidR="00001ACB" w:rsidRPr="005C75CE" w:rsidRDefault="00001ACB" w:rsidP="00001ACB">
            <w:pPr>
              <w:numPr>
                <w:ilvl w:val="0"/>
                <w:numId w:val="18"/>
              </w:numPr>
              <w:adjustRightInd w:val="0"/>
              <w:spacing w:before="40" w:after="40"/>
              <w:ind w:left="0" w:right="-1" w:hanging="3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Сроки итоговой аттестации</w:t>
            </w:r>
          </w:p>
        </w:tc>
        <w:tc>
          <w:tcPr>
            <w:tcW w:w="1001" w:type="pct"/>
            <w:vAlign w:val="center"/>
          </w:tcPr>
          <w:p w:rsidR="00001ACB" w:rsidRPr="005C75CE" w:rsidRDefault="00001ACB" w:rsidP="00183FED">
            <w:pPr>
              <w:adjustRightInd w:val="0"/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2.2 Условия реализации программы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На занятиях осуществляется работа с цифровой лабораторией «Биология»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обеспечение: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-Цифровая лаборатория RELEON. Биология.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-Микроскоп цифровой XSP-113RT –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Дополнительные устройства и датчики;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 -Программное обеспечение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 -Ноутбук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-Методические рекомендации для проведения лабораторных работ по биологии.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2.3 Формы аттестации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Контроль результатов обучения в соответствии с данной ОП проводится в форме практических ,лабораторных и тестовых работ, предполагается проведение промежуточной и итоговой аттестации . Для осуществления аттестации используются контрольно-оценочные материалы, отбор содержания которых ориентирован на проверку уровня усвоения системы знаний и умений . Задания аттестации включают материал основных разделов курса биологии.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tbl>
      <w:tblPr>
        <w:tblStyle w:val="ac"/>
        <w:tblW w:w="0" w:type="auto"/>
        <w:tblLook w:val="04A0"/>
      </w:tblPr>
      <w:tblGrid>
        <w:gridCol w:w="4389"/>
        <w:gridCol w:w="4389"/>
      </w:tblGrid>
      <w:tr w:rsidR="005C75CE" w:rsidRPr="005C75CE" w:rsidTr="00183FED"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реализации ДООП </w:t>
            </w:r>
          </w:p>
        </w:tc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5C75CE" w:rsidRPr="005C75CE" w:rsidTr="00183FED"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Знание признаков и процессов жизнедеятельности присущих всем живым организмам, разных форм регуляции процессов жизнедеятельности</w:t>
            </w:r>
          </w:p>
        </w:tc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</w:tr>
      <w:tr w:rsidR="005C75CE" w:rsidRPr="005C75CE" w:rsidTr="00183FED"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Умения сравнивать, наблюдать, </w:t>
            </w: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узнавать, делать выводы, соблюдать правила, применять биологические знания для объяснения процессов и явлений живой природы</w:t>
            </w:r>
          </w:p>
        </w:tc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Лабораторные работы </w:t>
            </w:r>
          </w:p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Тесты </w:t>
            </w:r>
          </w:p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001ACB" w:rsidRPr="005C75CE" w:rsidTr="00183FED"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владеть ключевыми компетентностями: учебно-познавательной, информационной, ценностно-смысловой, коммуникативной</w:t>
            </w:r>
          </w:p>
        </w:tc>
        <w:tc>
          <w:tcPr>
            <w:tcW w:w="4389" w:type="dxa"/>
          </w:tcPr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001ACB" w:rsidRPr="005C75CE" w:rsidRDefault="00001ACB" w:rsidP="00183FE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</w:t>
            </w:r>
          </w:p>
        </w:tc>
      </w:tr>
    </w:tbl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DAC" w:rsidRPr="005C75CE" w:rsidRDefault="00D62DAC" w:rsidP="00D62DA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2DAC" w:rsidRPr="005C75CE" w:rsidRDefault="00D62DAC" w:rsidP="00E742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В соответствии с возрастом применяются разнообразные </w:t>
      </w:r>
      <w:r w:rsidRPr="005C75CE">
        <w:rPr>
          <w:rFonts w:ascii="Times New Roman" w:hAnsi="Times New Roman" w:cs="Times New Roman"/>
          <w:bCs/>
          <w:sz w:val="24"/>
          <w:szCs w:val="24"/>
        </w:rPr>
        <w:t>формы деятельности</w:t>
      </w:r>
      <w:r w:rsidRPr="005C75CE">
        <w:rPr>
          <w:rFonts w:ascii="Times New Roman" w:hAnsi="Times New Roman" w:cs="Times New Roman"/>
          <w:sz w:val="24"/>
          <w:szCs w:val="24"/>
        </w:rPr>
        <w:t>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001ACB" w:rsidRPr="005C75CE" w:rsidRDefault="00D62DAC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Это очень важное умение, ведь многие стесняются выступать на публике, теряются, волнуются. Для </w:t>
      </w:r>
      <w:r w:rsidR="00001ACB" w:rsidRPr="005C75CE">
        <w:rPr>
          <w:rFonts w:ascii="Times New Roman" w:hAnsi="Times New Roman" w:cs="Times New Roman"/>
          <w:b/>
          <w:sz w:val="24"/>
          <w:szCs w:val="24"/>
        </w:rPr>
        <w:t>2.2 Условия реализации программы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На занятиях осуществляется работа с цифровой лабораторией «Биология»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обеспечение: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-Цифровая лаборатория RELEON. Биология.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-Микроскоп цифровой XSP-113RT –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Дополнительные устройства и датчики;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 -Программное обеспечение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 -Ноутбук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-Методические рекомендации для проведения лабораторных работ по биологии.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2.3 Формы аттестации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Контроль результатов обучения в соответствии с данной ОП проводится в форме практических ,лабораторных и тестовых работ, предполагается проведение промежуточной и итоговой аттестации . Для осуществления аттестации используются контрольно-оценочные материалы, отбор содержания которых ориентирован на проверку уровня усвоения системы знаний и умений . Задания аттестации включают материал основных разделов курса биологии.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tbl>
      <w:tblPr>
        <w:tblStyle w:val="ac"/>
        <w:tblW w:w="0" w:type="auto"/>
        <w:tblLook w:val="04A0"/>
      </w:tblPr>
      <w:tblGrid>
        <w:gridCol w:w="4389"/>
        <w:gridCol w:w="4389"/>
      </w:tblGrid>
      <w:tr w:rsidR="005C75CE" w:rsidRPr="005C75CE" w:rsidTr="0017320D"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реализации ДООП </w:t>
            </w:r>
          </w:p>
        </w:tc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5C75CE" w:rsidRPr="005C75CE" w:rsidTr="0017320D"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Знание признаков и процессов жизнедеятельности присущих всем живым организмам, разных форм регуляции процессов жизнедеятельности</w:t>
            </w:r>
          </w:p>
        </w:tc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</w:tr>
      <w:tr w:rsidR="005C75CE" w:rsidRPr="005C75CE" w:rsidTr="0017320D"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Умения сравнивать, наблюдать, узнавать, делать выводы, соблюдать правила, применять биологические знания для объяснения процессов и явлений живой природы</w:t>
            </w:r>
          </w:p>
        </w:tc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5C75CE" w:rsidRPr="005C75CE" w:rsidTr="0017320D"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владеть ключевыми компетентностями: учебно-познавательной, информационной, ценностно-смысловой, коммуникативной</w:t>
            </w:r>
          </w:p>
        </w:tc>
        <w:tc>
          <w:tcPr>
            <w:tcW w:w="4389" w:type="dxa"/>
          </w:tcPr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001ACB" w:rsidRPr="005C75CE" w:rsidRDefault="00001ACB" w:rsidP="0017320D">
            <w:pPr>
              <w:spacing w:before="40" w:after="4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</w:t>
            </w:r>
          </w:p>
        </w:tc>
      </w:tr>
    </w:tbl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используются разнообразные формы и методы проведения занятий. Это рассказ, беседы, лекции, из которых дети узнают много новой информации; практические задания для закрепления теоретических знаний и реализации собственной творческой мысли. Занятия сопровождаются использованием наглядного материала.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Основными принципами в освоении дополнительной общеобразовательной общеразвивающей программы являются: наглядность, систематичность и последовательность обучения, а также доступность. 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Принцип наглядности вытекает из сущности процесса восприятия, осмысления и обобщения учащимися изучаемого материала. 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Систематичность обучения предполагает такое построение учебного процесса, в ходе которого происходит как бы связывание ранее усвоенного с новым материалом. </w:t>
      </w:r>
    </w:p>
    <w:p w:rsidR="00001ACB" w:rsidRPr="005C75CE" w:rsidRDefault="00001ACB" w:rsidP="00001ACB">
      <w:pPr>
        <w:spacing w:before="40" w:after="4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Учѐт возрастных различий и особенностей учащихся находит выражение в принципе доступности обучения, которое должно проводиться так, чтобы изучаемый материал по содержанию и объѐму был посилен учащимся. Применяемые методы обучения должны соответствовать развитию учащихся, развивать их силы и способности. 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 xml:space="preserve">2.5. Методические материалы 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Методы обучения: 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Словесный 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Наглядный 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Исследовательский </w:t>
      </w:r>
    </w:p>
    <w:p w:rsidR="00001ACB" w:rsidRPr="005C75CE" w:rsidRDefault="00001ACB" w:rsidP="00001ACB">
      <w:pPr>
        <w:spacing w:before="40" w:after="40"/>
        <w:ind w:right="-1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Проектный</w:t>
      </w:r>
    </w:p>
    <w:p w:rsidR="00001ACB" w:rsidRPr="005C75CE" w:rsidRDefault="00001ACB" w:rsidP="00001ACB">
      <w:pPr>
        <w:spacing w:before="40" w:after="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деятельности: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Групповая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Практическое занятие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Беседа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Защита проекта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</w:rPr>
      </w:pPr>
      <w:r w:rsidRPr="005C75CE">
        <w:rPr>
          <w:rFonts w:ascii="Times New Roman" w:hAnsi="Times New Roman" w:cs="Times New Roman"/>
          <w:b/>
        </w:rPr>
        <w:t xml:space="preserve">Педагогические технологии: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Технология группового обучения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Технология коллективного взаимодействия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Технология дифференцированного обучения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Технология проблемного обучения 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Проектная технология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  <w:r w:rsidRPr="005C75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C75CE">
        <w:rPr>
          <w:rFonts w:ascii="Times New Roman" w:hAnsi="Times New Roman" w:cs="Times New Roman"/>
        </w:rPr>
        <w:t xml:space="preserve"> Здоровьесберегающая технология</w:t>
      </w: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1ACB" w:rsidRPr="005C75CE" w:rsidRDefault="00001ACB" w:rsidP="00E12C3D">
      <w:pPr>
        <w:spacing w:before="40" w:after="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b/>
          <w:sz w:val="24"/>
          <w:szCs w:val="24"/>
        </w:rPr>
        <w:t>2.6. Список литературы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lastRenderedPageBreak/>
        <w:t>Тебиева Е.А. Химия для малышей / Химия в школе № 5,  2008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Ивченко Л.А., Макареня  А.А. Валеология на уроках неорганической химии. – Тюмень, ТОГИРРО, 1998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Ольгин О.М. Чудеса на выбор, или Химические опыты для новичков. – М.: 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Урок окончен – занятия продолжаются: под ред. Э. Г. Злотникова. – М.: Просвещение, 1992 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Жилин Д.М. Юный химик. 130 опытов с веществами – М.: МГИУ, 2001 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>Зданчук Г.А. Химический кружок. – М. Просвещение, 1984</w:t>
      </w:r>
    </w:p>
    <w:p w:rsidR="00001ACB" w:rsidRPr="005C75CE" w:rsidRDefault="00001ACB" w:rsidP="00001ACB">
      <w:pPr>
        <w:numPr>
          <w:ilvl w:val="0"/>
          <w:numId w:val="5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Штремплер Г.И. «Химия на досуге». Загадки, игры, ребусы. Книга для учащихся. – Москва, «Просвещение», 1993. 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</w:rPr>
        <w:t xml:space="preserve">                DVD – фильмы «Занимательная химия».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5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C75CE">
        <w:rPr>
          <w:rFonts w:ascii="Times New Roman" w:hAnsi="Times New Roman" w:cs="Times New Roman"/>
          <w:sz w:val="24"/>
          <w:szCs w:val="24"/>
        </w:rPr>
        <w:t>://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C75CE">
        <w:rPr>
          <w:rFonts w:ascii="Times New Roman" w:hAnsi="Times New Roman" w:cs="Times New Roman"/>
          <w:sz w:val="24"/>
          <w:szCs w:val="24"/>
        </w:rPr>
        <w:t xml:space="preserve">. 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>alhimik</w:t>
      </w:r>
      <w:r w:rsidRPr="005C75CE">
        <w:rPr>
          <w:rFonts w:ascii="Times New Roman" w:hAnsi="Times New Roman" w:cs="Times New Roman"/>
          <w:sz w:val="24"/>
          <w:szCs w:val="24"/>
        </w:rPr>
        <w:t xml:space="preserve">. </w:t>
      </w:r>
      <w:r w:rsidRPr="005C75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C75CE">
        <w:rPr>
          <w:rFonts w:ascii="Times New Roman" w:hAnsi="Times New Roman" w:cs="Times New Roman"/>
          <w:sz w:val="24"/>
          <w:szCs w:val="24"/>
          <w:lang w:val="en-US"/>
        </w:rPr>
        <w:t>http://www. XuMuK. ru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C75CE">
        <w:rPr>
          <w:rFonts w:ascii="Times New Roman" w:hAnsi="Times New Roman" w:cs="Times New Roman"/>
          <w:sz w:val="24"/>
          <w:szCs w:val="24"/>
          <w:lang w:val="en-US"/>
        </w:rPr>
        <w:t xml:space="preserve">                http://www. chemistry. narod. ru/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C75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http://it-n. ru/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C75CE">
        <w:rPr>
          <w:rFonts w:ascii="Times New Roman" w:hAnsi="Times New Roman" w:cs="Times New Roman"/>
          <w:sz w:val="24"/>
          <w:szCs w:val="24"/>
          <w:lang w:val="en-US"/>
        </w:rPr>
        <w:t xml:space="preserve">                http://school. edu. ru/</w:t>
      </w: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1ACB" w:rsidRPr="005C75CE" w:rsidRDefault="00001ACB" w:rsidP="00001AC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1ACB" w:rsidRPr="005C75CE" w:rsidRDefault="00001ACB" w:rsidP="00001ACB">
      <w:pPr>
        <w:spacing w:before="40" w:after="40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74214" w:rsidRPr="005C75CE" w:rsidRDefault="00E74214" w:rsidP="00E7421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817AA" w:rsidRPr="005C75CE" w:rsidRDefault="000817AA" w:rsidP="000817AA">
      <w:pPr>
        <w:pStyle w:val="a7"/>
        <w:spacing w:after="120" w:line="240" w:lineRule="auto"/>
        <w:ind w:left="128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7AA" w:rsidRPr="005C75CE" w:rsidRDefault="000817AA" w:rsidP="000817AA">
      <w:pPr>
        <w:pStyle w:val="a7"/>
        <w:spacing w:after="120" w:line="240" w:lineRule="auto"/>
        <w:ind w:left="128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7AA" w:rsidRPr="005C75CE" w:rsidRDefault="000817AA" w:rsidP="000817AA">
      <w:pPr>
        <w:pStyle w:val="a7"/>
        <w:spacing w:after="120" w:line="240" w:lineRule="auto"/>
        <w:ind w:left="128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7AA" w:rsidRPr="005C75CE" w:rsidRDefault="000817AA" w:rsidP="000817AA">
      <w:pPr>
        <w:pStyle w:val="a7"/>
        <w:spacing w:after="120" w:line="240" w:lineRule="auto"/>
        <w:ind w:left="128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7AA" w:rsidRPr="005C75CE" w:rsidRDefault="000817AA" w:rsidP="000817AA">
      <w:pPr>
        <w:pStyle w:val="a7"/>
        <w:spacing w:after="120" w:line="240" w:lineRule="auto"/>
        <w:ind w:left="1288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17AA" w:rsidRPr="005C75CE" w:rsidSect="00E22B6C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C0" w:rsidRDefault="002D72C0" w:rsidP="00D62DAC">
      <w:pPr>
        <w:spacing w:after="0" w:line="240" w:lineRule="auto"/>
      </w:pPr>
      <w:r>
        <w:separator/>
      </w:r>
    </w:p>
  </w:endnote>
  <w:endnote w:type="continuationSeparator" w:id="1">
    <w:p w:rsidR="002D72C0" w:rsidRDefault="002D72C0" w:rsidP="00D6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704451"/>
      <w:docPartObj>
        <w:docPartGallery w:val="Page Numbers (Bottom of Page)"/>
        <w:docPartUnique/>
      </w:docPartObj>
    </w:sdtPr>
    <w:sdtContent>
      <w:p w:rsidR="000817AA" w:rsidRDefault="002C2BEA">
        <w:pPr>
          <w:pStyle w:val="a5"/>
          <w:jc w:val="center"/>
        </w:pPr>
        <w:r>
          <w:fldChar w:fldCharType="begin"/>
        </w:r>
        <w:r w:rsidR="007D7ACC">
          <w:instrText xml:space="preserve"> PAGE   \* MERGEFORMAT </w:instrText>
        </w:r>
        <w:r>
          <w:fldChar w:fldCharType="separate"/>
        </w:r>
        <w:r w:rsidR="00E22B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2DAC" w:rsidRDefault="00D62D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C0" w:rsidRDefault="002D72C0" w:rsidP="00D62DAC">
      <w:pPr>
        <w:spacing w:after="0" w:line="240" w:lineRule="auto"/>
      </w:pPr>
      <w:r>
        <w:separator/>
      </w:r>
    </w:p>
  </w:footnote>
  <w:footnote w:type="continuationSeparator" w:id="1">
    <w:p w:rsidR="002D72C0" w:rsidRDefault="002D72C0" w:rsidP="00D6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149"/>
    <w:multiLevelType w:val="hybridMultilevel"/>
    <w:tmpl w:val="3BD26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A60CD"/>
    <w:multiLevelType w:val="hybridMultilevel"/>
    <w:tmpl w:val="E74A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51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9B7E23"/>
    <w:multiLevelType w:val="multilevel"/>
    <w:tmpl w:val="C708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D5A66"/>
    <w:multiLevelType w:val="hybridMultilevel"/>
    <w:tmpl w:val="98F44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A5675"/>
    <w:multiLevelType w:val="hybridMultilevel"/>
    <w:tmpl w:val="0E50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A3CD9"/>
    <w:multiLevelType w:val="hybridMultilevel"/>
    <w:tmpl w:val="9D1EF774"/>
    <w:lvl w:ilvl="0" w:tplc="E54E60D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D45F0"/>
    <w:multiLevelType w:val="hybridMultilevel"/>
    <w:tmpl w:val="B11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0E7E"/>
    <w:multiLevelType w:val="hybridMultilevel"/>
    <w:tmpl w:val="4FC48D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E53F2"/>
    <w:multiLevelType w:val="hybridMultilevel"/>
    <w:tmpl w:val="5A0C1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E44"/>
    <w:multiLevelType w:val="hybridMultilevel"/>
    <w:tmpl w:val="06EE1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2347A"/>
    <w:multiLevelType w:val="hybridMultilevel"/>
    <w:tmpl w:val="BA9A388A"/>
    <w:lvl w:ilvl="0" w:tplc="59048742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A03B1"/>
    <w:multiLevelType w:val="hybridMultilevel"/>
    <w:tmpl w:val="40C09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43CF3"/>
    <w:multiLevelType w:val="hybridMultilevel"/>
    <w:tmpl w:val="D5E8C9F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B039C"/>
    <w:multiLevelType w:val="hybridMultilevel"/>
    <w:tmpl w:val="40D8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A1A22"/>
    <w:multiLevelType w:val="hybridMultilevel"/>
    <w:tmpl w:val="072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82FF6"/>
    <w:multiLevelType w:val="hybridMultilevel"/>
    <w:tmpl w:val="4322FF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17"/>
  </w:num>
  <w:num w:numId="11">
    <w:abstractNumId w:val="15"/>
  </w:num>
  <w:num w:numId="12">
    <w:abstractNumId w:val="8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DAC"/>
    <w:rsid w:val="00001ACB"/>
    <w:rsid w:val="0002365E"/>
    <w:rsid w:val="000579CA"/>
    <w:rsid w:val="000817AA"/>
    <w:rsid w:val="000B3AB8"/>
    <w:rsid w:val="000D730C"/>
    <w:rsid w:val="00145F5D"/>
    <w:rsid w:val="002407A9"/>
    <w:rsid w:val="00291F93"/>
    <w:rsid w:val="002C1DBF"/>
    <w:rsid w:val="002C2BEA"/>
    <w:rsid w:val="002C439F"/>
    <w:rsid w:val="002D72C0"/>
    <w:rsid w:val="00324755"/>
    <w:rsid w:val="0033112C"/>
    <w:rsid w:val="003B0037"/>
    <w:rsid w:val="004470BC"/>
    <w:rsid w:val="004D5446"/>
    <w:rsid w:val="00531279"/>
    <w:rsid w:val="00543F2D"/>
    <w:rsid w:val="005868D7"/>
    <w:rsid w:val="005A1297"/>
    <w:rsid w:val="005C75CE"/>
    <w:rsid w:val="005E0BAE"/>
    <w:rsid w:val="005E222E"/>
    <w:rsid w:val="00624B48"/>
    <w:rsid w:val="00674B0D"/>
    <w:rsid w:val="00743881"/>
    <w:rsid w:val="00754B4B"/>
    <w:rsid w:val="00783592"/>
    <w:rsid w:val="00797DF6"/>
    <w:rsid w:val="007B1C2A"/>
    <w:rsid w:val="007C3FEE"/>
    <w:rsid w:val="007C4DFC"/>
    <w:rsid w:val="007D7ACC"/>
    <w:rsid w:val="007E4DAE"/>
    <w:rsid w:val="007F201A"/>
    <w:rsid w:val="0080586E"/>
    <w:rsid w:val="008D7090"/>
    <w:rsid w:val="008D7A7E"/>
    <w:rsid w:val="009320A1"/>
    <w:rsid w:val="009E660C"/>
    <w:rsid w:val="00AC376B"/>
    <w:rsid w:val="00AE71D1"/>
    <w:rsid w:val="00B40563"/>
    <w:rsid w:val="00B41D78"/>
    <w:rsid w:val="00B76EF0"/>
    <w:rsid w:val="00B877C3"/>
    <w:rsid w:val="00BB13C4"/>
    <w:rsid w:val="00BF4112"/>
    <w:rsid w:val="00C47D79"/>
    <w:rsid w:val="00C63D2F"/>
    <w:rsid w:val="00C967BA"/>
    <w:rsid w:val="00CC604C"/>
    <w:rsid w:val="00D213DC"/>
    <w:rsid w:val="00D356D3"/>
    <w:rsid w:val="00D62DAC"/>
    <w:rsid w:val="00D805DF"/>
    <w:rsid w:val="00D832EF"/>
    <w:rsid w:val="00DE1060"/>
    <w:rsid w:val="00E03CAA"/>
    <w:rsid w:val="00E12C3D"/>
    <w:rsid w:val="00E22B6C"/>
    <w:rsid w:val="00E74214"/>
    <w:rsid w:val="00F814DB"/>
    <w:rsid w:val="00F9674A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90"/>
  </w:style>
  <w:style w:type="paragraph" w:styleId="1">
    <w:name w:val="heading 1"/>
    <w:basedOn w:val="a"/>
    <w:next w:val="a"/>
    <w:link w:val="10"/>
    <w:uiPriority w:val="1"/>
    <w:qFormat/>
    <w:rsid w:val="00001ACB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paragraph" w:styleId="2">
    <w:name w:val="heading 2"/>
    <w:basedOn w:val="a"/>
    <w:next w:val="a"/>
    <w:link w:val="20"/>
    <w:qFormat/>
    <w:rsid w:val="00001A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1AC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DAC"/>
  </w:style>
  <w:style w:type="paragraph" w:styleId="a5">
    <w:name w:val="footer"/>
    <w:basedOn w:val="a"/>
    <w:link w:val="a6"/>
    <w:uiPriority w:val="99"/>
    <w:unhideWhenUsed/>
    <w:rsid w:val="00D6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DAC"/>
  </w:style>
  <w:style w:type="paragraph" w:styleId="a7">
    <w:name w:val="List Paragraph"/>
    <w:basedOn w:val="a"/>
    <w:uiPriority w:val="34"/>
    <w:qFormat/>
    <w:rsid w:val="00D62D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214"/>
    <w:rPr>
      <w:rFonts w:ascii="Tahoma" w:hAnsi="Tahoma" w:cs="Tahoma"/>
      <w:sz w:val="16"/>
      <w:szCs w:val="16"/>
    </w:rPr>
  </w:style>
  <w:style w:type="character" w:customStyle="1" w:styleId="fStyleText">
    <w:name w:val="fStyleText"/>
    <w:uiPriority w:val="99"/>
    <w:rsid w:val="007E4DAE"/>
    <w:rPr>
      <w:rFonts w:ascii="Times New Roman" w:hAnsi="Times New Roman"/>
      <w:color w:val="000000"/>
      <w:sz w:val="28"/>
    </w:rPr>
  </w:style>
  <w:style w:type="paragraph" w:customStyle="1" w:styleId="pStyleTextCenter">
    <w:name w:val="pStyleTextCenter"/>
    <w:basedOn w:val="a"/>
    <w:uiPriority w:val="99"/>
    <w:rsid w:val="007E4DA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001A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001A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001AC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001AC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ACB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</w:rPr>
  </w:style>
  <w:style w:type="paragraph" w:customStyle="1" w:styleId="pStyleText">
    <w:name w:val="pStyleText"/>
    <w:basedOn w:val="a"/>
    <w:uiPriority w:val="99"/>
    <w:rsid w:val="00001ACB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00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tyleHead1">
    <w:name w:val="fStyleHead_1"/>
    <w:uiPriority w:val="99"/>
    <w:rsid w:val="00E12C3D"/>
    <w:rPr>
      <w:rFonts w:ascii="Times New Roman" w:hAnsi="Times New Roman"/>
      <w:b/>
      <w:color w:val="000000"/>
      <w:sz w:val="32"/>
    </w:rPr>
  </w:style>
  <w:style w:type="paragraph" w:customStyle="1" w:styleId="pStyleHead1">
    <w:name w:val="pStyleHead_1"/>
    <w:basedOn w:val="a"/>
    <w:uiPriority w:val="99"/>
    <w:rsid w:val="00E12C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89C3-FB1B-4C95-8D72-9394A944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черванева</dc:creator>
  <cp:lastModifiedBy>30 Лет Юбилей</cp:lastModifiedBy>
  <cp:revision>26</cp:revision>
  <cp:lastPrinted>2024-10-10T09:20:00Z</cp:lastPrinted>
  <dcterms:created xsi:type="dcterms:W3CDTF">2022-11-07T15:34:00Z</dcterms:created>
  <dcterms:modified xsi:type="dcterms:W3CDTF">2024-10-16T08:04:00Z</dcterms:modified>
</cp:coreProperties>
</file>